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rlito" w:cs="Carlito" w:eastAsia="Carlito" w:hAnsi="Carlito"/>
          <w:color w:val="1a1918"/>
        </w:rPr>
      </w:pPr>
      <w:r w:rsidDel="00000000" w:rsidR="00000000" w:rsidRPr="00000000">
        <w:rPr>
          <w:rFonts w:ascii="Carlito" w:cs="Carlito" w:eastAsia="Carlito" w:hAnsi="Carlito"/>
          <w:color w:val="9b6e2a"/>
          <w:sz w:val="18"/>
          <w:szCs w:val="18"/>
          <w:rtl w:val="0"/>
        </w:rPr>
        <w:t xml:space="preserve">STATE CAPACITY ECOSYSTEM</w:t>
      </w:r>
      <w:r w:rsidDel="00000000" w:rsidR="00000000" w:rsidRPr="00000000">
        <w:rPr>
          <w:rtl w:val="0"/>
        </w:rPr>
      </w:r>
    </w:p>
    <w:p w:rsidR="00000000" w:rsidDel="00000000" w:rsidP="00000000" w:rsidRDefault="00000000" w:rsidRPr="00000000" w14:paraId="00000002">
      <w:pPr>
        <w:spacing w:after="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52"/>
          <w:szCs w:val="52"/>
          <w:rtl w:val="0"/>
        </w:rPr>
        <w:t xml:space="preserve">Field Building Guide</w:t>
      </w:r>
      <w:r w:rsidDel="00000000" w:rsidR="00000000" w:rsidRPr="00000000">
        <w:rPr>
          <w:rtl w:val="0"/>
        </w:rPr>
      </w:r>
    </w:p>
    <w:p w:rsidR="00000000" w:rsidDel="00000000" w:rsidP="00000000" w:rsidRDefault="00000000" w:rsidRPr="00000000" w14:paraId="00000003">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1. What this guide is</w:t>
      </w:r>
      <w:r w:rsidDel="00000000" w:rsidR="00000000" w:rsidRPr="00000000">
        <w:rPr>
          <w:rtl w:val="0"/>
        </w:rPr>
      </w:r>
    </w:p>
    <w:p w:rsidR="00000000" w:rsidDel="00000000" w:rsidP="00000000" w:rsidRDefault="00000000" w:rsidRPr="00000000" w14:paraId="00000004">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How to build enough credibility and reach in a new city or vertical that your first event draws real practitioners and a government person with real authority.</w:t>
      </w:r>
    </w:p>
    <w:p w:rsidR="00000000" w:rsidDel="00000000" w:rsidP="00000000" w:rsidRDefault="00000000" w:rsidRPr="00000000" w14:paraId="00000005">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2. The core idea</w:t>
      </w:r>
      <w:r w:rsidDel="00000000" w:rsidR="00000000" w:rsidRPr="00000000">
        <w:rPr>
          <w:rtl w:val="0"/>
        </w:rPr>
      </w:r>
    </w:p>
    <w:p w:rsidR="00000000" w:rsidDel="00000000" w:rsidP="00000000" w:rsidRDefault="00000000" w:rsidRPr="00000000" w14:paraId="00000006">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Field building comes down to two things. Build both before your event and keep building as you go.</w:t>
      </w:r>
    </w:p>
    <w:p w:rsidR="00000000" w:rsidDel="00000000" w:rsidP="00000000" w:rsidRDefault="00000000" w:rsidRPr="00000000" w14:paraId="00000007">
      <w:pPr>
        <w:numPr>
          <w:ilvl w:val="0"/>
          <w:numId w:val="1"/>
        </w:numPr>
        <w:spacing w:after="60" w:line="276" w:lineRule="auto"/>
        <w:ind w:left="540" w:hanging="27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Credibility. </w:t>
      </w:r>
      <w:r w:rsidDel="00000000" w:rsidR="00000000" w:rsidRPr="00000000">
        <w:rPr>
          <w:rFonts w:ascii="Carlito" w:cs="Carlito" w:eastAsia="Carlito" w:hAnsi="Carlito"/>
          <w:color w:val="1a1918"/>
          <w:rtl w:val="0"/>
        </w:rPr>
        <w:t xml:space="preserve">Proof you understand the space and deserve to lead in it. It has to be authentic to you. What that looks like is up to you.</w:t>
      </w:r>
    </w:p>
    <w:p w:rsidR="00000000" w:rsidDel="00000000" w:rsidP="00000000" w:rsidRDefault="00000000" w:rsidRPr="00000000" w14:paraId="00000008">
      <w:pPr>
        <w:numPr>
          <w:ilvl w:val="0"/>
          <w:numId w:val="1"/>
        </w:numPr>
        <w:spacing w:after="60" w:line="276" w:lineRule="auto"/>
        <w:ind w:left="540" w:hanging="27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Reach. </w:t>
      </w:r>
      <w:r w:rsidDel="00000000" w:rsidR="00000000" w:rsidRPr="00000000">
        <w:rPr>
          <w:rFonts w:ascii="Carlito" w:cs="Carlito" w:eastAsia="Carlito" w:hAnsi="Carlito"/>
          <w:color w:val="1a1918"/>
          <w:rtl w:val="0"/>
        </w:rPr>
        <w:t xml:space="preserve">People who know you and will show up for you. Likes help. Attendees are the bottom line.</w:t>
      </w:r>
    </w:p>
    <w:p w:rsidR="00000000" w:rsidDel="00000000" w:rsidP="00000000" w:rsidRDefault="00000000" w:rsidRPr="00000000" w14:paraId="00000009">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There is no formula for either. Find the angle that is yours and lean into it. SCE founder Henry Grunzweig posted on LinkedIn about moving from the private sector into government and ended up on dozens of calls. Each call built credibility and reach at once.</w:t>
      </w:r>
    </w:p>
    <w:p w:rsidR="00000000" w:rsidDel="00000000" w:rsidP="00000000" w:rsidRDefault="00000000" w:rsidRPr="00000000" w14:paraId="0000000A">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One more idea underneath both: the map reflects the field, events build it. Mapping your ecosystem earns you the right to convene it. Convening it is what makes it a field.</w:t>
      </w:r>
    </w:p>
    <w:p w:rsidR="00000000" w:rsidDel="00000000" w:rsidP="00000000" w:rsidRDefault="00000000" w:rsidRPr="00000000" w14:paraId="0000000B">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3. The toolkit</w:t>
      </w:r>
      <w:r w:rsidDel="00000000" w:rsidR="00000000" w:rsidRPr="00000000">
        <w:rPr>
          <w:rtl w:val="0"/>
        </w:rPr>
      </w:r>
    </w:p>
    <w:p w:rsidR="00000000" w:rsidDel="00000000" w:rsidP="00000000" w:rsidRDefault="00000000" w:rsidRPr="00000000" w14:paraId="0000000C">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Tactics that build credibility, reach, or both. Not exhaustive.</w:t>
      </w:r>
    </w:p>
    <w:tbl>
      <w:tblPr>
        <w:tblStyle w:val="Table1"/>
        <w:tblW w:w="9360.0" w:type="dxa"/>
        <w:jc w:val="left"/>
        <w:tblBorders>
          <w:top w:color="ddd8cc" w:space="0" w:sz="4" w:val="single"/>
          <w:left w:color="000000" w:space="0" w:sz="0" w:val="nil"/>
          <w:bottom w:color="ddd8cc" w:space="0" w:sz="4" w:val="single"/>
          <w:right w:color="000000" w:space="0" w:sz="0" w:val="nil"/>
          <w:insideH w:color="ddd8cc" w:space="0" w:sz="4" w:val="single"/>
          <w:insideV w:color="000000" w:space="0" w:sz="0" w:val="nil"/>
        </w:tblBorders>
        <w:tblLayout w:type="fixed"/>
        <w:tblLook w:val="0000"/>
      </w:tblPr>
      <w:tblGrid>
        <w:gridCol w:w="2200"/>
        <w:gridCol w:w="1700"/>
        <w:gridCol w:w="5460"/>
        <w:tblGridChange w:id="0">
          <w:tblGrid>
            <w:gridCol w:w="2200"/>
            <w:gridCol w:w="1700"/>
            <w:gridCol w:w="5460"/>
          </w:tblGrid>
        </w:tblGridChange>
      </w:tblGrid>
      <w:tr>
        <w:trPr>
          <w:cantSplit w:val="0"/>
          <w:tblHeader w:val="1"/>
        </w:trPr>
        <w:tc>
          <w:tcPr>
            <w:shd w:fill="ddd8cc" w:val="clear"/>
            <w:tcMar>
              <w:top w:w="80.0" w:type="dxa"/>
              <w:left w:w="120.0" w:type="dxa"/>
              <w:bottom w:w="80.0" w:type="dxa"/>
              <w:right w:w="120.0" w:type="dxa"/>
            </w:tcMar>
          </w:tcPr>
          <w:p w:rsidR="00000000" w:rsidDel="00000000" w:rsidP="00000000" w:rsidRDefault="00000000" w:rsidRPr="00000000" w14:paraId="0000000D">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Tactic</w:t>
            </w:r>
            <w:r w:rsidDel="00000000" w:rsidR="00000000" w:rsidRPr="00000000">
              <w:rPr>
                <w:rtl w:val="0"/>
              </w:rPr>
            </w:r>
          </w:p>
        </w:tc>
        <w:tc>
          <w:tcPr>
            <w:shd w:fill="ddd8cc" w:val="clear"/>
            <w:tcMar>
              <w:top w:w="80.0" w:type="dxa"/>
              <w:left w:w="120.0" w:type="dxa"/>
              <w:bottom w:w="80.0" w:type="dxa"/>
              <w:right w:w="120.0" w:type="dxa"/>
            </w:tcMar>
          </w:tcPr>
          <w:p w:rsidR="00000000" w:rsidDel="00000000" w:rsidP="00000000" w:rsidRDefault="00000000" w:rsidRPr="00000000" w14:paraId="0000000E">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Builds</w:t>
            </w:r>
            <w:r w:rsidDel="00000000" w:rsidR="00000000" w:rsidRPr="00000000">
              <w:rPr>
                <w:rtl w:val="0"/>
              </w:rPr>
            </w:r>
          </w:p>
        </w:tc>
        <w:tc>
          <w:tcPr>
            <w:shd w:fill="ddd8cc" w:val="clear"/>
            <w:tcMar>
              <w:top w:w="80.0" w:type="dxa"/>
              <w:left w:w="120.0" w:type="dxa"/>
              <w:bottom w:w="80.0" w:type="dxa"/>
              <w:right w:w="120.0" w:type="dxa"/>
            </w:tcMar>
          </w:tcPr>
          <w:p w:rsidR="00000000" w:rsidDel="00000000" w:rsidP="00000000" w:rsidRDefault="00000000" w:rsidRPr="00000000" w14:paraId="0000000F">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What it looks like</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0">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Map your ecosystem</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1">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Credibility</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2">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Add your city or vertical to the Organization Directory. Horizontal is a city. Vertical is one segment. Aim for 30 to 50 organizations before you host anything.</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3">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Write and post</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4">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Both</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5">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Publish your own thinking in your own voice. Guest posts on the SCE Substack are open to you.</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6">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Take the calls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7">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Reach</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8">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Say yes to intro calls. Offer your time. Follow up within a day. Add the person to Connect if they consent.</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9">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Use the SCE Slack</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A">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Reach</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B">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Open a channel for your city or vertical in the SCE Slack. </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C">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Court insiders, then decision-makers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D">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Credibility to reach</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E">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Find one or two respected insiders first. Their credibility opens the door to someone with authority. That person is your first event's non-negotiable practitioner seat.</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F">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Find the double-duty partner</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0">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Both</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1">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A policy school, research center, or civic tech group that brings space, brand fit, and agency relationships at once.</w:t>
            </w:r>
            <w:r w:rsidDel="00000000" w:rsidR="00000000" w:rsidRPr="00000000">
              <w:rPr>
                <w:rtl w:val="0"/>
              </w:rPr>
            </w:r>
          </w:p>
        </w:tc>
      </w:tr>
    </w:tbl>
    <w:p w:rsidR="00000000" w:rsidDel="00000000" w:rsidP="00000000" w:rsidRDefault="00000000" w:rsidRPr="00000000" w14:paraId="00000022">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4. Suggested timeline</w:t>
      </w:r>
      <w:r w:rsidDel="00000000" w:rsidR="00000000" w:rsidRPr="00000000">
        <w:rPr>
          <w:rtl w:val="0"/>
        </w:rPr>
      </w:r>
    </w:p>
    <w:p w:rsidR="00000000" w:rsidDel="00000000" w:rsidP="00000000" w:rsidRDefault="00000000" w:rsidRPr="00000000" w14:paraId="00000023">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Field building should build to a crescendo. This is a band, not a formula. It assumes starting from near zero. Existing credibility, like working inside government, shortens the runway. If you’re a college student, your event ecosystem may already be there. </w:t>
      </w:r>
    </w:p>
    <w:tbl>
      <w:tblPr>
        <w:tblStyle w:val="Table2"/>
        <w:tblW w:w="9360.0" w:type="dxa"/>
        <w:jc w:val="left"/>
        <w:tblBorders>
          <w:top w:color="ddd8cc" w:space="0" w:sz="4" w:val="single"/>
          <w:left w:color="000000" w:space="0" w:sz="0" w:val="nil"/>
          <w:bottom w:color="ddd8cc" w:space="0" w:sz="4" w:val="single"/>
          <w:right w:color="000000" w:space="0" w:sz="0" w:val="nil"/>
          <w:insideH w:color="ddd8cc" w:space="0" w:sz="4" w:val="single"/>
          <w:insideV w:color="000000" w:space="0" w:sz="0" w:val="nil"/>
        </w:tblBorders>
        <w:tblLayout w:type="fixed"/>
        <w:tblLook w:val="0000"/>
      </w:tblPr>
      <w:tblGrid>
        <w:gridCol w:w="2000"/>
        <w:gridCol w:w="7360"/>
        <w:tblGridChange w:id="0">
          <w:tblGrid>
            <w:gridCol w:w="2000"/>
            <w:gridCol w:w="7360"/>
          </w:tblGrid>
        </w:tblGridChange>
      </w:tblGrid>
      <w:tr>
        <w:trPr>
          <w:cantSplit w:val="0"/>
          <w:tblHeader w:val="1"/>
        </w:trPr>
        <w:tc>
          <w:tcPr>
            <w:shd w:fill="ddd8cc" w:val="clear"/>
            <w:tcMar>
              <w:top w:w="80.0" w:type="dxa"/>
              <w:left w:w="120.0" w:type="dxa"/>
              <w:bottom w:w="80.0" w:type="dxa"/>
              <w:right w:w="120.0" w:type="dxa"/>
            </w:tcMar>
          </w:tcPr>
          <w:p w:rsidR="00000000" w:rsidDel="00000000" w:rsidP="00000000" w:rsidRDefault="00000000" w:rsidRPr="00000000" w14:paraId="00000024">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Window</w:t>
            </w:r>
            <w:r w:rsidDel="00000000" w:rsidR="00000000" w:rsidRPr="00000000">
              <w:rPr>
                <w:rtl w:val="0"/>
              </w:rPr>
            </w:r>
          </w:p>
        </w:tc>
        <w:tc>
          <w:tcPr>
            <w:shd w:fill="ddd8cc" w:val="clear"/>
            <w:tcMar>
              <w:top w:w="80.0" w:type="dxa"/>
              <w:left w:w="120.0" w:type="dxa"/>
              <w:bottom w:w="80.0" w:type="dxa"/>
              <w:right w:w="120.0" w:type="dxa"/>
            </w:tcMar>
          </w:tcPr>
          <w:p w:rsidR="00000000" w:rsidDel="00000000" w:rsidP="00000000" w:rsidRDefault="00000000" w:rsidRPr="00000000" w14:paraId="00000025">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What you are doing</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6">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Months 1 to 2</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7">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Map 30 to 50 organizations. Post once a week. Take every intro call. Open your Slack channel and invite everyone you talk to.</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8">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Months 2 to 3</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9">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Identify two insiders and meet them. Ask each for two introductions. Draft three candidate problem statements from public agency priorities.</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A">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Months 3 to 4</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B">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Get a government decision-maker to commit to a date. Lock a host and a partner. Publish the event page. Everything in the Playbook timeline starts here.</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C">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Month 5</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D">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Run the event. Capture every tool. Post the recap within 48 hours.</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E">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After</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F">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Keep the channel alive. Book the next decision-maker before the room forgets you.</w:t>
            </w:r>
            <w:r w:rsidDel="00000000" w:rsidR="00000000" w:rsidRPr="00000000">
              <w:rPr>
                <w:rtl w:val="0"/>
              </w:rPr>
            </w:r>
          </w:p>
        </w:tc>
      </w:tr>
    </w:tbl>
    <w:p w:rsidR="00000000" w:rsidDel="00000000" w:rsidP="00000000" w:rsidRDefault="00000000" w:rsidRPr="00000000" w14:paraId="00000030">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5. What "enough" looks like</w:t>
      </w:r>
      <w:r w:rsidDel="00000000" w:rsidR="00000000" w:rsidRPr="00000000">
        <w:rPr>
          <w:rtl w:val="0"/>
        </w:rPr>
      </w:r>
    </w:p>
    <w:p w:rsidR="00000000" w:rsidDel="00000000" w:rsidP="00000000" w:rsidRDefault="00000000" w:rsidRPr="00000000" w14:paraId="00000031">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You are (most likely) ready to host an event when all four are true:</w:t>
      </w:r>
    </w:p>
    <w:p w:rsidR="00000000" w:rsidDel="00000000" w:rsidP="00000000" w:rsidRDefault="00000000" w:rsidRPr="00000000" w14:paraId="00000032">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A government person with real authority has said yes to a date.</w:t>
      </w:r>
    </w:p>
    <w:p w:rsidR="00000000" w:rsidDel="00000000" w:rsidP="00000000" w:rsidRDefault="00000000" w:rsidRPr="00000000" w14:paraId="00000033">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You have a host with a room that meets the Playbook checklist.</w:t>
      </w:r>
    </w:p>
    <w:p w:rsidR="00000000" w:rsidDel="00000000" w:rsidP="00000000" w:rsidRDefault="00000000" w:rsidRPr="00000000" w14:paraId="00000034">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You have three problem statements an agency contact has reacted to.</w:t>
      </w:r>
    </w:p>
    <w:p w:rsidR="00000000" w:rsidDel="00000000" w:rsidP="00000000" w:rsidRDefault="00000000" w:rsidRPr="00000000" w14:paraId="00000035">
      <w:pPr>
        <w:numPr>
          <w:ilvl w:val="0"/>
          <w:numId w:val="2"/>
        </w:numPr>
        <w:spacing w:after="60" w:line="276" w:lineRule="auto"/>
        <w:ind w:left="540" w:hanging="270"/>
        <w:rPr>
          <w:rFonts w:ascii="Carlito" w:cs="Carlito" w:eastAsia="Carlito" w:hAnsi="Carlito"/>
          <w:color w:val="1a1918"/>
          <w:u w:val="none"/>
        </w:rPr>
      </w:pPr>
      <w:r w:rsidDel="00000000" w:rsidR="00000000" w:rsidRPr="00000000">
        <w:rPr>
          <w:rFonts w:ascii="Carlito" w:cs="Carlito" w:eastAsia="Carlito" w:hAnsi="Carlito"/>
          <w:color w:val="1a1918"/>
          <w:rtl w:val="0"/>
        </w:rPr>
        <w:t xml:space="preserve">You have confidence 40+ people will sign up for your event.</w:t>
      </w:r>
    </w:p>
    <w:p w:rsidR="00000000" w:rsidDel="00000000" w:rsidP="00000000" w:rsidRDefault="00000000" w:rsidRPr="00000000" w14:paraId="00000036">
      <w:pPr>
        <w:spacing w:after="60" w:line="276" w:lineRule="auto"/>
        <w:rPr>
          <w:rFonts w:ascii="Carlito" w:cs="Carlito" w:eastAsia="Carlito" w:hAnsi="Carlito"/>
          <w:color w:val="1a1918"/>
        </w:rPr>
      </w:pPr>
      <w:r w:rsidDel="00000000" w:rsidR="00000000" w:rsidRPr="00000000">
        <w:rPr>
          <w:rtl w:val="0"/>
        </w:rPr>
      </w:r>
    </w:p>
    <w:p w:rsidR="00000000" w:rsidDel="00000000" w:rsidP="00000000" w:rsidRDefault="00000000" w:rsidRPr="00000000" w14:paraId="00000037">
      <w:pPr>
        <w:spacing w:after="6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As a grassroots team, we encourage boldness. If you want to host an event, go for it. For us to be involve, the non-negotiable is practitioners and technologists working together</w:t>
      </w:r>
    </w:p>
    <w:p w:rsidR="00000000" w:rsidDel="00000000" w:rsidP="00000000" w:rsidRDefault="00000000" w:rsidRPr="00000000" w14:paraId="00000038">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6. Feed the Ecosystem</w:t>
      </w:r>
      <w:r w:rsidDel="00000000" w:rsidR="00000000" w:rsidRPr="00000000">
        <w:rPr>
          <w:rtl w:val="0"/>
        </w:rPr>
      </w:r>
    </w:p>
    <w:p w:rsidR="00000000" w:rsidDel="00000000" w:rsidP="00000000" w:rsidRDefault="00000000" w:rsidRPr="00000000" w14:paraId="00000039">
      <w:pPr>
        <w:spacing w:after="120" w:line="276" w:lineRule="auto"/>
        <w:rPr>
          <w:rFonts w:ascii="Arial" w:cs="Arial" w:eastAsia="Arial" w:hAnsi="Arial"/>
          <w:b w:val="1"/>
          <w:bCs w:val="1"/>
          <w:color w:val="2e5aac"/>
        </w:rPr>
      </w:pPr>
      <w:r w:rsidDel="00000000" w:rsidR="00000000" w:rsidRPr="00000000">
        <w:rPr>
          <w:rFonts w:ascii="Carlito" w:cs="Carlito" w:eastAsia="Carlito" w:hAnsi="Carlito"/>
          <w:color w:val="1a1918"/>
          <w:rtl w:val="0"/>
        </w:rPr>
        <w:t xml:space="preserve">Everything you map feeds the shared Ecosystem infrastructure so the community grows. Work with Henry and Tal to determine how best to action. </w:t>
      </w: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rl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decimal"/>
      <w:lvlText w:val="%1."/>
      <w:lvlJc w:val="left"/>
      <w:pPr>
        <w:ind w:left="540" w:hanging="27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f2937"/>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color="2e5aac" w:space="4" w:sz="6" w:val="single"/>
        <w:right w:space="0" w:sz="0" w:val="nil"/>
        <w:between w:space="0" w:sz="0" w:val="nil"/>
      </w:pBdr>
      <w:shd w:fill="auto" w:val="clear"/>
      <w:spacing w:after="160" w:before="360" w:line="240" w:lineRule="auto"/>
      <w:ind w:left="0" w:right="0" w:firstLine="0"/>
      <w:jc w:val="left"/>
    </w:pPr>
    <w:rPr>
      <w:rFonts w:ascii="Calibri" w:cs="Calibri" w:eastAsia="Calibri" w:hAnsi="Calibri"/>
      <w:b w:val="1"/>
      <w:bCs w:val="1"/>
      <w:i w:val="0"/>
      <w:iCs w:val="0"/>
      <w:smallCaps w:val="0"/>
      <w:strike w:val="0"/>
      <w:color w:val="2e5aac"/>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40" w:line="240" w:lineRule="auto"/>
      <w:ind w:left="0" w:right="0" w:firstLine="0"/>
      <w:jc w:val="left"/>
    </w:pPr>
    <w:rPr>
      <w:rFonts w:ascii="Calibri" w:cs="Calibri" w:eastAsia="Calibri" w:hAnsi="Calibri"/>
      <w:b w:val="1"/>
      <w:bCs w:val="1"/>
      <w:i w:val="0"/>
      <w:iCs w:val="0"/>
      <w:smallCaps w:val="0"/>
      <w:strike w:val="0"/>
      <w:color w:val="1f2937"/>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2937"/>
      <w:sz w:val="56"/>
      <w:szCs w:val="56"/>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rPr>
      <w:sz w:val="20"/>
      <w:szCs w:val="20"/>
    </w:rPr>
  </w:style>
  <w:style w:type="character" w:styleId="EndnoteTextChar" w:customStyle="1">
    <w:name w:val="Endnote Text Char"/>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rlito-regular.ttf"/><Relationship Id="rId2" Type="http://schemas.openxmlformats.org/officeDocument/2006/relationships/font" Target="fonts/Carlito-bold.ttf"/><Relationship Id="rId3" Type="http://schemas.openxmlformats.org/officeDocument/2006/relationships/font" Target="fonts/Carlito-italic.ttf"/><Relationship Id="rId4" Type="http://schemas.openxmlformats.org/officeDocument/2006/relationships/font" Target="fonts/Carl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16SilRge3keFFevCYgd6YL4Nag==">CgMxLjA4AHIhMWh2T1dlZkstOFhBQTRsMTRZVE5mc2ZIOG9GLUlMcFNQ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2026-07-17T15:56:00Z</dcterms:created>
  <dc:creator>Un-named</dc:creator>
</cp:coreProperties>
</file>